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F2" w:rsidRDefault="00A37AF2" w:rsidP="003B62E5">
      <w:pPr>
        <w:autoSpaceDE w:val="0"/>
        <w:autoSpaceDN w:val="0"/>
        <w:adjustRightInd w:val="0"/>
        <w:jc w:val="both"/>
        <w:rPr>
          <w:rFonts w:ascii="AvantGarde" w:hAnsi="AvantGarde" w:cs="AvantGarde"/>
          <w:b/>
          <w:bCs/>
          <w:sz w:val="22"/>
          <w:szCs w:val="22"/>
        </w:rPr>
      </w:pPr>
    </w:p>
    <w:p w:rsidR="00A37AF2" w:rsidRDefault="00A37AF2" w:rsidP="003B62E5">
      <w:pPr>
        <w:autoSpaceDE w:val="0"/>
        <w:autoSpaceDN w:val="0"/>
        <w:adjustRightInd w:val="0"/>
        <w:jc w:val="both"/>
        <w:rPr>
          <w:rFonts w:ascii="AvantGarde" w:hAnsi="AvantGarde" w:cs="AvantGarde"/>
          <w:b/>
          <w:bCs/>
          <w:sz w:val="22"/>
          <w:szCs w:val="22"/>
        </w:rPr>
      </w:pPr>
    </w:p>
    <w:p w:rsidR="00A37AF2" w:rsidRDefault="00A37AF2" w:rsidP="003B62E5">
      <w:pPr>
        <w:autoSpaceDE w:val="0"/>
        <w:autoSpaceDN w:val="0"/>
        <w:adjustRightInd w:val="0"/>
        <w:jc w:val="both"/>
        <w:rPr>
          <w:rFonts w:ascii="AvantGarde" w:hAnsi="AvantGarde" w:cs="AvantGarde"/>
          <w:b/>
          <w:bCs/>
          <w:sz w:val="22"/>
          <w:szCs w:val="22"/>
        </w:rPr>
      </w:pPr>
    </w:p>
    <w:p w:rsidR="00A37AF2" w:rsidRDefault="00A37AF2" w:rsidP="003B62E5">
      <w:pPr>
        <w:autoSpaceDE w:val="0"/>
        <w:autoSpaceDN w:val="0"/>
        <w:adjustRightInd w:val="0"/>
        <w:jc w:val="both"/>
        <w:rPr>
          <w:rFonts w:ascii="AvantGarde" w:hAnsi="AvantGarde" w:cs="AvantGarde"/>
          <w:b/>
          <w:bCs/>
          <w:sz w:val="22"/>
          <w:szCs w:val="22"/>
        </w:rPr>
      </w:pPr>
    </w:p>
    <w:p w:rsidR="00A37AF2" w:rsidRPr="00B00DE2" w:rsidRDefault="00A37AF2" w:rsidP="003B62E5">
      <w:pPr>
        <w:autoSpaceDE w:val="0"/>
        <w:autoSpaceDN w:val="0"/>
        <w:adjustRightInd w:val="0"/>
        <w:jc w:val="both"/>
        <w:rPr>
          <w:rFonts w:ascii="AvantGarde" w:hAnsi="AvantGarde" w:cs="AvantGarde"/>
          <w:b/>
          <w:bCs/>
          <w:sz w:val="22"/>
          <w:szCs w:val="22"/>
        </w:rPr>
        <w:sectPr w:rsidR="00A37AF2" w:rsidRPr="00B00DE2" w:rsidSect="000B03EE">
          <w:headerReference w:type="default" r:id="rId7"/>
          <w:footerReference w:type="default" r:id="rId8"/>
          <w:type w:val="continuous"/>
          <w:pgSz w:w="11906" w:h="16838"/>
          <w:pgMar w:top="1234" w:right="1701" w:bottom="1079" w:left="1701" w:header="708" w:footer="708" w:gutter="0"/>
          <w:cols w:num="3" w:space="709"/>
          <w:docGrid w:linePitch="360"/>
        </w:sectPr>
      </w:pPr>
    </w:p>
    <w:p w:rsidR="00A37AF2" w:rsidRPr="00BE5978" w:rsidRDefault="00A37AF2" w:rsidP="009A19F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993366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993366"/>
          <w:sz w:val="28"/>
          <w:szCs w:val="28"/>
        </w:rPr>
        <w:t xml:space="preserve">       MISIÓN COMERCIAL A CENTROAMÉRICA</w:t>
      </w:r>
    </w:p>
    <w:p w:rsidR="00A37AF2" w:rsidRPr="007440C7" w:rsidRDefault="00A37AF2" w:rsidP="009A19F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993366"/>
        </w:rPr>
      </w:pPr>
      <w:r>
        <w:rPr>
          <w:rFonts w:ascii="Century Gothic" w:hAnsi="Century Gothic" w:cs="Century Gothic"/>
          <w:b/>
          <w:bCs/>
          <w:color w:val="993366"/>
          <w:sz w:val="28"/>
          <w:szCs w:val="28"/>
        </w:rPr>
        <w:t xml:space="preserve">       </w:t>
      </w:r>
      <w:r w:rsidR="00A83472">
        <w:rPr>
          <w:rFonts w:ascii="Century Gothic" w:hAnsi="Century Gothic" w:cs="Century Gothic"/>
          <w:b/>
          <w:bCs/>
          <w:color w:val="993366"/>
        </w:rPr>
        <w:t>2 al 6 de julio de 2018</w:t>
      </w:r>
    </w:p>
    <w:p w:rsidR="00A37AF2" w:rsidRPr="007440C7" w:rsidRDefault="00A37AF2" w:rsidP="009A19FC">
      <w:pPr>
        <w:autoSpaceDE w:val="0"/>
        <w:autoSpaceDN w:val="0"/>
        <w:adjustRightInd w:val="0"/>
        <w:jc w:val="center"/>
        <w:rPr>
          <w:rFonts w:ascii="CG Omega" w:hAnsi="CG Omega" w:cs="CG Omega"/>
          <w:b/>
          <w:bCs/>
          <w:color w:val="993366"/>
        </w:rPr>
      </w:pPr>
      <w:r w:rsidRPr="007440C7">
        <w:rPr>
          <w:rFonts w:ascii="Century Gothic" w:hAnsi="Century Gothic" w:cs="Century Gothic"/>
          <w:b/>
          <w:bCs/>
          <w:color w:val="993366"/>
        </w:rPr>
        <w:t xml:space="preserve">          (Panamá/Costa Rica/El Salvador/</w:t>
      </w:r>
      <w:r w:rsidR="00A83472">
        <w:rPr>
          <w:rFonts w:ascii="Century Gothic" w:hAnsi="Century Gothic" w:cs="Century Gothic"/>
          <w:b/>
          <w:bCs/>
          <w:color w:val="993366"/>
        </w:rPr>
        <w:t>Nicaragua/</w:t>
      </w:r>
      <w:r w:rsidRPr="007440C7">
        <w:rPr>
          <w:rFonts w:ascii="Century Gothic" w:hAnsi="Century Gothic" w:cs="Century Gothic"/>
          <w:b/>
          <w:bCs/>
          <w:color w:val="993366"/>
        </w:rPr>
        <w:t>Guatemala)</w:t>
      </w:r>
    </w:p>
    <w:p w:rsidR="00A37AF2" w:rsidRDefault="00A37AF2" w:rsidP="00436F63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37AF2" w:rsidRDefault="00A37AF2" w:rsidP="00436F63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37AF2" w:rsidRDefault="00A37AF2" w:rsidP="00436F63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37AF2" w:rsidRPr="0057367C" w:rsidRDefault="00A37AF2" w:rsidP="00961821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El Instituto Valenciano de Competitividad Empresarial IVACE en colaboración </w:t>
      </w:r>
      <w:r w:rsidR="007714DB">
        <w:rPr>
          <w:rFonts w:asciiTheme="minorHAnsi" w:hAnsiTheme="minorHAnsi" w:cstheme="minorHAnsi"/>
          <w:color w:val="4D4D4D"/>
          <w:sz w:val="22"/>
          <w:szCs w:val="22"/>
        </w:rPr>
        <w:t xml:space="preserve">con 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la</w:t>
      </w:r>
      <w:r w:rsidR="00A83472" w:rsidRPr="0057367C">
        <w:rPr>
          <w:rFonts w:asciiTheme="minorHAnsi" w:hAnsiTheme="minorHAnsi" w:cstheme="minorHAnsi"/>
          <w:color w:val="4D4D4D"/>
          <w:sz w:val="22"/>
          <w:szCs w:val="22"/>
        </w:rPr>
        <w:t>s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Cámara</w:t>
      </w:r>
      <w:r w:rsidR="00A83472" w:rsidRPr="0057367C">
        <w:rPr>
          <w:rFonts w:asciiTheme="minorHAnsi" w:hAnsiTheme="minorHAnsi" w:cstheme="minorHAnsi"/>
          <w:color w:val="4D4D4D"/>
          <w:sz w:val="22"/>
          <w:szCs w:val="22"/>
        </w:rPr>
        <w:t>s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de Comercio de España en </w:t>
      </w:r>
      <w:r w:rsidR="006F796C">
        <w:rPr>
          <w:rFonts w:asciiTheme="minorHAnsi" w:hAnsiTheme="minorHAnsi" w:cstheme="minorHAnsi"/>
          <w:color w:val="4D4D4D"/>
          <w:sz w:val="22"/>
          <w:szCs w:val="22"/>
        </w:rPr>
        <w:t>los Panamá, Costa Rica, El Salvador, Nicaragua y Guatemala</w:t>
      </w:r>
      <w:r w:rsidR="00A83472" w:rsidRPr="0057367C">
        <w:rPr>
          <w:rFonts w:asciiTheme="minorHAnsi" w:hAnsiTheme="minorHAnsi" w:cstheme="minorHAnsi"/>
          <w:color w:val="4D4D4D"/>
          <w:sz w:val="22"/>
          <w:szCs w:val="22"/>
        </w:rPr>
        <w:t>,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organiza una </w:t>
      </w:r>
      <w:r w:rsidR="006F796C">
        <w:rPr>
          <w:rFonts w:asciiTheme="minorHAnsi" w:hAnsiTheme="minorHAnsi" w:cstheme="minorHAnsi"/>
          <w:color w:val="4D4D4D"/>
          <w:sz w:val="22"/>
          <w:szCs w:val="22"/>
        </w:rPr>
        <w:t xml:space="preserve">misión comercial 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l</w:t>
      </w:r>
      <w:r w:rsidR="00A83472" w:rsidRPr="0057367C">
        <w:rPr>
          <w:rFonts w:asciiTheme="minorHAnsi" w:hAnsiTheme="minorHAnsi" w:cstheme="minorHAnsi"/>
          <w:color w:val="4D4D4D"/>
          <w:sz w:val="22"/>
          <w:szCs w:val="22"/>
        </w:rPr>
        <w:t>os días 2 al 6 de julio de 2018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.</w:t>
      </w:r>
    </w:p>
    <w:p w:rsidR="00A37AF2" w:rsidRPr="0057367C" w:rsidRDefault="00A37AF2" w:rsidP="00961821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57367C" w:rsidRDefault="00A37AF2" w:rsidP="00130CFA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Ce</w:t>
      </w:r>
      <w:r w:rsidR="0057367C">
        <w:rPr>
          <w:rFonts w:asciiTheme="minorHAnsi" w:hAnsiTheme="minorHAnsi" w:cstheme="minorHAnsi"/>
          <w:color w:val="4D4D4D"/>
          <w:sz w:val="22"/>
          <w:szCs w:val="22"/>
        </w:rPr>
        <w:t>ntroamérica es un mercado de 4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7 millones de habitantes y un PIB regional de US$ </w:t>
      </w:r>
      <w:r w:rsidR="0057367C">
        <w:rPr>
          <w:rFonts w:asciiTheme="minorHAnsi" w:hAnsiTheme="minorHAnsi" w:cstheme="minorHAnsi"/>
          <w:color w:val="4D4D4D"/>
          <w:sz w:val="22"/>
          <w:szCs w:val="22"/>
        </w:rPr>
        <w:t>220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.000 millones, con acceso a dos océanos y cercano en términos geográficos a EE.UU., el consumidor más grande de bienes y servicios. </w:t>
      </w:r>
    </w:p>
    <w:p w:rsidR="00A37AF2" w:rsidRPr="0057367C" w:rsidRDefault="00A37AF2" w:rsidP="00130CFA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7714DB" w:rsidRDefault="0057367C" w:rsidP="00130CFA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>
        <w:rPr>
          <w:rFonts w:asciiTheme="minorHAnsi" w:hAnsiTheme="minorHAnsi" w:cstheme="minorHAnsi"/>
          <w:color w:val="4D4D4D"/>
          <w:sz w:val="22"/>
          <w:szCs w:val="22"/>
        </w:rPr>
        <w:t>Las tasas de crecimiento</w:t>
      </w:r>
      <w:r w:rsidR="00AA133E">
        <w:rPr>
          <w:rFonts w:asciiTheme="minorHAnsi" w:hAnsiTheme="minorHAnsi" w:cstheme="minorHAnsi"/>
          <w:color w:val="4D4D4D"/>
          <w:sz w:val="22"/>
          <w:szCs w:val="22"/>
        </w:rPr>
        <w:t xml:space="preserve"> económico</w:t>
      </w:r>
      <w:r>
        <w:rPr>
          <w:rFonts w:asciiTheme="minorHAnsi" w:hAnsiTheme="minorHAnsi" w:cstheme="minorHAnsi"/>
          <w:color w:val="4D4D4D"/>
          <w:sz w:val="22"/>
          <w:szCs w:val="22"/>
        </w:rPr>
        <w:t xml:space="preserve"> en los tres últimos años han superado el 4,5</w:t>
      </w:r>
      <w:r w:rsidR="00AA133E">
        <w:rPr>
          <w:rFonts w:asciiTheme="minorHAnsi" w:hAnsiTheme="minorHAnsi" w:cstheme="minorHAnsi"/>
          <w:color w:val="4D4D4D"/>
          <w:sz w:val="22"/>
          <w:szCs w:val="22"/>
        </w:rPr>
        <w:t>% y son las má</w:t>
      </w:r>
      <w:r>
        <w:rPr>
          <w:rFonts w:asciiTheme="minorHAnsi" w:hAnsiTheme="minorHAnsi" w:cstheme="minorHAnsi"/>
          <w:color w:val="4D4D4D"/>
          <w:sz w:val="22"/>
          <w:szCs w:val="22"/>
        </w:rPr>
        <w:t>s altas del continente americano</w:t>
      </w:r>
      <w:r w:rsidR="00A37AF2"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. </w:t>
      </w:r>
      <w:r w:rsidR="00AA133E">
        <w:rPr>
          <w:rFonts w:asciiTheme="minorHAnsi" w:hAnsiTheme="minorHAnsi" w:cstheme="minorHAnsi"/>
          <w:color w:val="4D4D4D"/>
          <w:sz w:val="22"/>
          <w:szCs w:val="22"/>
        </w:rPr>
        <w:t xml:space="preserve">Destacan Panamá, Costa Rica y Nicaragua. </w:t>
      </w:r>
      <w:r w:rsidR="00A37AF2" w:rsidRPr="007714DB">
        <w:rPr>
          <w:rFonts w:asciiTheme="minorHAnsi" w:hAnsiTheme="minorHAnsi" w:cstheme="minorHAnsi"/>
          <w:color w:val="4D4D4D"/>
          <w:sz w:val="22"/>
          <w:szCs w:val="22"/>
        </w:rPr>
        <w:t>A raíz del Acuerdo d</w:t>
      </w:r>
      <w:r w:rsidR="005D394D" w:rsidRPr="007714DB">
        <w:rPr>
          <w:rFonts w:asciiTheme="minorHAnsi" w:hAnsiTheme="minorHAnsi" w:cstheme="minorHAnsi"/>
          <w:color w:val="4D4D4D"/>
          <w:sz w:val="22"/>
          <w:szCs w:val="22"/>
        </w:rPr>
        <w:t>e Asociación con la UE más del 7</w:t>
      </w:r>
      <w:r w:rsidR="00A37AF2" w:rsidRPr="007714DB">
        <w:rPr>
          <w:rFonts w:asciiTheme="minorHAnsi" w:hAnsiTheme="minorHAnsi" w:cstheme="minorHAnsi"/>
          <w:color w:val="4D4D4D"/>
          <w:sz w:val="22"/>
          <w:szCs w:val="22"/>
        </w:rPr>
        <w:t>0% de los productos fabricados en la UE entran con tasa ¨0¨</w:t>
      </w:r>
      <w:r w:rsidR="00CE2A13"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 y continua el proceso de desgravación del resto de productos</w:t>
      </w:r>
      <w:r w:rsidR="00A37AF2" w:rsidRPr="007714DB">
        <w:rPr>
          <w:rFonts w:asciiTheme="minorHAnsi" w:hAnsiTheme="minorHAnsi" w:cstheme="minorHAnsi"/>
          <w:color w:val="4D4D4D"/>
          <w:sz w:val="22"/>
          <w:szCs w:val="22"/>
        </w:rPr>
        <w:t>.</w:t>
      </w:r>
    </w:p>
    <w:p w:rsidR="007714DB" w:rsidRPr="007714DB" w:rsidRDefault="007714DB" w:rsidP="00130CFA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7714DB" w:rsidRPr="007714DB" w:rsidRDefault="007714DB" w:rsidP="007714DB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En 2017, los países de América Central </w:t>
      </w:r>
      <w:r>
        <w:rPr>
          <w:rFonts w:asciiTheme="minorHAnsi" w:hAnsiTheme="minorHAnsi" w:cstheme="minorHAnsi"/>
          <w:color w:val="4D4D4D"/>
          <w:sz w:val="22"/>
          <w:szCs w:val="22"/>
        </w:rPr>
        <w:t>(incluyendo a México</w:t>
      </w:r>
      <w:r w:rsidR="0075627A">
        <w:rPr>
          <w:rFonts w:asciiTheme="minorHAnsi" w:hAnsiTheme="minorHAnsi" w:cstheme="minorHAnsi"/>
          <w:color w:val="4D4D4D"/>
          <w:sz w:val="22"/>
          <w:szCs w:val="22"/>
        </w:rPr>
        <w:t xml:space="preserve"> con el 61%</w:t>
      </w:r>
      <w:r>
        <w:rPr>
          <w:rFonts w:asciiTheme="minorHAnsi" w:hAnsiTheme="minorHAnsi" w:cstheme="minorHAnsi"/>
          <w:color w:val="4D4D4D"/>
          <w:sz w:val="22"/>
          <w:szCs w:val="22"/>
        </w:rPr>
        <w:t xml:space="preserve">) </w:t>
      </w:r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han sido destino de exportaciones de la </w:t>
      </w:r>
      <w:proofErr w:type="spellStart"/>
      <w:r w:rsidRPr="007714DB">
        <w:rPr>
          <w:rFonts w:asciiTheme="minorHAnsi" w:hAnsiTheme="minorHAnsi" w:cstheme="minorHAnsi"/>
          <w:color w:val="4D4D4D"/>
          <w:sz w:val="22"/>
          <w:szCs w:val="22"/>
        </w:rPr>
        <w:t>Comunitat</w:t>
      </w:r>
      <w:proofErr w:type="spellEnd"/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 Valenciana por valor de 950 millones de euros que equivale a una cuarta parte del valor exportado al continente americano. Esa cifra duplicaba la de hace seis años (exportaciones en 2011 valoradas en 429 millones d euros) y correspondía a un incremento cercano al 2% en comparación con el año anterior 2016.</w:t>
      </w:r>
    </w:p>
    <w:p w:rsidR="007714DB" w:rsidRPr="007714DB" w:rsidRDefault="007714DB" w:rsidP="007714DB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7714DB" w:rsidRPr="007714DB" w:rsidRDefault="007714DB" w:rsidP="007714DB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La </w:t>
      </w:r>
      <w:proofErr w:type="spellStart"/>
      <w:r w:rsidRPr="007714DB">
        <w:rPr>
          <w:rFonts w:asciiTheme="minorHAnsi" w:hAnsiTheme="minorHAnsi" w:cstheme="minorHAnsi"/>
          <w:color w:val="4D4D4D"/>
          <w:sz w:val="22"/>
          <w:szCs w:val="22"/>
        </w:rPr>
        <w:t>Comunitat</w:t>
      </w:r>
      <w:proofErr w:type="spellEnd"/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 Valenciana es la 2ª región española más exportadora (con un 13% del total exportado por España).</w:t>
      </w:r>
    </w:p>
    <w:p w:rsidR="007714DB" w:rsidRPr="007714DB" w:rsidRDefault="007714DB" w:rsidP="007714DB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7714DB" w:rsidRPr="007714DB" w:rsidRDefault="007714DB" w:rsidP="007714DB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7714DB">
        <w:rPr>
          <w:rFonts w:asciiTheme="minorHAnsi" w:hAnsiTheme="minorHAnsi" w:cstheme="minorHAnsi"/>
          <w:color w:val="4D4D4D"/>
          <w:sz w:val="22"/>
          <w:szCs w:val="22"/>
        </w:rPr>
        <w:t>Los principales productos que demandan esos p</w:t>
      </w:r>
      <w:r>
        <w:rPr>
          <w:rFonts w:asciiTheme="minorHAnsi" w:hAnsiTheme="minorHAnsi" w:cstheme="minorHAnsi"/>
          <w:color w:val="4D4D4D"/>
          <w:sz w:val="22"/>
          <w:szCs w:val="22"/>
        </w:rPr>
        <w:t>aíses</w:t>
      </w:r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 son maquinaria (27% del total exportado), junto con productos cerámicos, automóviles</w:t>
      </w:r>
      <w:r w:rsidR="005F5606">
        <w:rPr>
          <w:rFonts w:asciiTheme="minorHAnsi" w:hAnsiTheme="minorHAnsi" w:cstheme="minorHAnsi"/>
          <w:color w:val="4D4D4D"/>
          <w:sz w:val="22"/>
          <w:szCs w:val="22"/>
        </w:rPr>
        <w:t>, productos químicos</w:t>
      </w:r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 representan un 54% del tota</w:t>
      </w:r>
      <w:r w:rsidR="000F4524">
        <w:rPr>
          <w:rFonts w:asciiTheme="minorHAnsi" w:hAnsiTheme="minorHAnsi" w:cstheme="minorHAnsi"/>
          <w:color w:val="4D4D4D"/>
          <w:sz w:val="22"/>
          <w:szCs w:val="22"/>
        </w:rPr>
        <w:t>l. H</w:t>
      </w:r>
      <w:r w:rsidRPr="007714DB">
        <w:rPr>
          <w:rFonts w:asciiTheme="minorHAnsi" w:hAnsiTheme="minorHAnsi" w:cstheme="minorHAnsi"/>
          <w:color w:val="4D4D4D"/>
          <w:sz w:val="22"/>
          <w:szCs w:val="22"/>
        </w:rPr>
        <w:t>a destacado el dinamismo de las manufacturas de fundición y lo</w:t>
      </w:r>
      <w:r w:rsidR="000F4524">
        <w:rPr>
          <w:rFonts w:asciiTheme="minorHAnsi" w:hAnsiTheme="minorHAnsi" w:cstheme="minorHAnsi"/>
          <w:color w:val="4D4D4D"/>
          <w:sz w:val="22"/>
          <w:szCs w:val="22"/>
        </w:rPr>
        <w:t>s aparatos y material eléctrico y</w:t>
      </w:r>
      <w:r w:rsidRPr="007714DB">
        <w:rPr>
          <w:rFonts w:asciiTheme="minorHAnsi" w:hAnsiTheme="minorHAnsi" w:cstheme="minorHAnsi"/>
          <w:color w:val="4D4D4D"/>
          <w:sz w:val="22"/>
          <w:szCs w:val="22"/>
        </w:rPr>
        <w:t xml:space="preserve"> automóviles, con las mayores tasas de aumento en comparación con 2016.</w:t>
      </w:r>
    </w:p>
    <w:p w:rsidR="007714DB" w:rsidRPr="007714DB" w:rsidRDefault="007714DB" w:rsidP="007714DB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57367C" w:rsidRDefault="00A37AF2" w:rsidP="00CF4E11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b/>
          <w:bCs/>
          <w:color w:val="4D4D4D"/>
          <w:sz w:val="22"/>
          <w:szCs w:val="22"/>
        </w:rPr>
        <w:t>Guatemala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: Guatemala</w:t>
      </w:r>
      <w:r w:rsidR="003A6C7F">
        <w:rPr>
          <w:rFonts w:asciiTheme="minorHAnsi" w:hAnsiTheme="minorHAnsi" w:cstheme="minorHAnsi"/>
          <w:color w:val="4D4D4D"/>
          <w:sz w:val="22"/>
          <w:szCs w:val="22"/>
        </w:rPr>
        <w:t>, con 16 millones de habitantes,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ofrece una de las mejores infraestructuras de Centroamérica, con un tejido empresarial importante en sectores como el agroalimentario, construcción y transformación del metal. El marco legal para las empresas extranjeras es estable y no discriminatorio.</w:t>
      </w:r>
    </w:p>
    <w:p w:rsidR="00A37AF2" w:rsidRPr="003A6C7F" w:rsidRDefault="00A37AF2" w:rsidP="004633B5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br/>
      </w:r>
      <w:r w:rsidRPr="0057367C">
        <w:rPr>
          <w:rFonts w:asciiTheme="minorHAnsi" w:hAnsiTheme="minorHAnsi" w:cstheme="minorHAnsi"/>
          <w:b/>
          <w:bCs/>
          <w:color w:val="4D4D4D"/>
          <w:sz w:val="22"/>
          <w:szCs w:val="22"/>
        </w:rPr>
        <w:t>El Salvador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: Las oportunidades de negocios en El Salvador son bastante amplias, pero sobresalen la agroindustria, manufacturas de plástico, metal, químico, Tics, servicios y mercados de capital e infraestructura privada.</w:t>
      </w:r>
      <w:r w:rsidR="005D394D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="005D394D" w:rsidRPr="003A6C7F">
        <w:rPr>
          <w:rFonts w:asciiTheme="minorHAnsi" w:hAnsiTheme="minorHAnsi" w:cstheme="minorHAnsi"/>
          <w:color w:val="4D4D4D"/>
          <w:sz w:val="22"/>
          <w:szCs w:val="22"/>
        </w:rPr>
        <w:t xml:space="preserve">El Salvador cuenta con la Ley de Servicios Internacionales, lo cual permite exportar al país, sin constituir empresa, para reexportar al resto de países de la región. Esta es una alternativa </w:t>
      </w:r>
      <w:r w:rsidR="00CE2A13" w:rsidRPr="003A6C7F">
        <w:rPr>
          <w:rFonts w:asciiTheme="minorHAnsi" w:hAnsiTheme="minorHAnsi" w:cstheme="minorHAnsi"/>
          <w:color w:val="4D4D4D"/>
          <w:sz w:val="22"/>
          <w:szCs w:val="22"/>
        </w:rPr>
        <w:t xml:space="preserve">logística, de lo que ofrece Panamá. </w:t>
      </w:r>
    </w:p>
    <w:p w:rsidR="00A37AF2" w:rsidRPr="0057367C" w:rsidRDefault="00A37AF2" w:rsidP="00B161E7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br/>
      </w:r>
      <w:r w:rsidRPr="0057367C">
        <w:rPr>
          <w:rFonts w:asciiTheme="minorHAnsi" w:hAnsiTheme="minorHAnsi" w:cstheme="minorHAnsi"/>
          <w:b/>
          <w:bCs/>
          <w:color w:val="4D4D4D"/>
          <w:sz w:val="22"/>
          <w:szCs w:val="22"/>
        </w:rPr>
        <w:t>Costa Rica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: Costa Rica ha evolucionado de ser un país agrícola, a ser un país con tejido indu</w:t>
      </w:r>
      <w:r w:rsidR="005F5606">
        <w:rPr>
          <w:rFonts w:asciiTheme="minorHAnsi" w:hAnsiTheme="minorHAnsi" w:cstheme="minorHAnsi"/>
          <w:color w:val="4D4D4D"/>
          <w:sz w:val="22"/>
          <w:szCs w:val="22"/>
        </w:rPr>
        <w:t>strial importante, construcción y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prestador de servicios. De ahí que muchas empresas extranjeras buscan Costa Rica como sede para sus negocios.</w:t>
      </w:r>
      <w:r w:rsidR="005F5606">
        <w:rPr>
          <w:rFonts w:asciiTheme="minorHAnsi" w:hAnsiTheme="minorHAnsi" w:cstheme="minorHAnsi"/>
          <w:color w:val="4D4D4D"/>
          <w:sz w:val="22"/>
          <w:szCs w:val="22"/>
        </w:rPr>
        <w:t xml:space="preserve"> Su PIB supera 10.6</w:t>
      </w:r>
      <w:r w:rsidR="0057367C">
        <w:rPr>
          <w:rFonts w:asciiTheme="minorHAnsi" w:hAnsiTheme="minorHAnsi" w:cstheme="minorHAnsi"/>
          <w:color w:val="4D4D4D"/>
          <w:sz w:val="22"/>
          <w:szCs w:val="22"/>
        </w:rPr>
        <w:t>00 dólares per cápita</w:t>
      </w:r>
      <w:r w:rsidR="003A6C7F">
        <w:rPr>
          <w:rFonts w:asciiTheme="minorHAnsi" w:hAnsiTheme="minorHAnsi" w:cstheme="minorHAnsi"/>
          <w:color w:val="4D4D4D"/>
          <w:sz w:val="22"/>
          <w:szCs w:val="22"/>
        </w:rPr>
        <w:t xml:space="preserve"> y tiene 5 millones de habitantes</w:t>
      </w:r>
      <w:r w:rsidR="0057367C">
        <w:rPr>
          <w:rFonts w:asciiTheme="minorHAnsi" w:hAnsiTheme="minorHAnsi" w:cstheme="minorHAnsi"/>
          <w:color w:val="4D4D4D"/>
          <w:sz w:val="22"/>
          <w:szCs w:val="22"/>
        </w:rPr>
        <w:t xml:space="preserve">. </w:t>
      </w:r>
    </w:p>
    <w:p w:rsidR="00A37AF2" w:rsidRPr="0057367C" w:rsidRDefault="00A37AF2" w:rsidP="00B161E7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Default="00A37AF2" w:rsidP="00874C97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b/>
          <w:bCs/>
          <w:color w:val="4D4D4D"/>
          <w:sz w:val="22"/>
          <w:szCs w:val="22"/>
        </w:rPr>
        <w:lastRenderedPageBreak/>
        <w:t>Panamá</w:t>
      </w:r>
      <w:r w:rsidR="00AA133E">
        <w:rPr>
          <w:rFonts w:asciiTheme="minorHAnsi" w:hAnsiTheme="minorHAnsi" w:cstheme="minorHAnsi"/>
          <w:color w:val="4D4D4D"/>
          <w:sz w:val="22"/>
          <w:szCs w:val="22"/>
        </w:rPr>
        <w:t>: Es el país má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s desarrollado de la zona, </w:t>
      </w:r>
      <w:r w:rsidR="0057367C">
        <w:rPr>
          <w:rFonts w:asciiTheme="minorHAnsi" w:hAnsiTheme="minorHAnsi" w:cstheme="minorHAnsi"/>
          <w:color w:val="4D4D4D"/>
          <w:sz w:val="22"/>
          <w:szCs w:val="22"/>
        </w:rPr>
        <w:t>con una renta per cápita de 12.3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00 dólares</w:t>
      </w:r>
      <w:r w:rsidR="003A6C7F">
        <w:rPr>
          <w:rFonts w:asciiTheme="minorHAnsi" w:hAnsiTheme="minorHAnsi" w:cstheme="minorHAnsi"/>
          <w:color w:val="4D4D4D"/>
          <w:sz w:val="22"/>
          <w:szCs w:val="22"/>
        </w:rPr>
        <w:t xml:space="preserve"> y 4 millones de habitantes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, es un pequeño </w:t>
      </w:r>
      <w:r w:rsidR="00AD5DE0">
        <w:rPr>
          <w:rFonts w:asciiTheme="minorHAnsi" w:hAnsiTheme="minorHAnsi" w:cstheme="minorHAnsi"/>
          <w:color w:val="4D4D4D"/>
          <w:sz w:val="22"/>
          <w:szCs w:val="22"/>
        </w:rPr>
        <w:t>mercado</w:t>
      </w:r>
      <w:bookmarkStart w:id="0" w:name="_GoBack"/>
      <w:bookmarkEnd w:id="0"/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pero una gran plataforma logística y destino preferente para las empresas españolas. Destacan las inversiones en infraestructuras y energía.</w:t>
      </w:r>
    </w:p>
    <w:p w:rsidR="0057367C" w:rsidRDefault="0057367C" w:rsidP="00874C97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57367C" w:rsidRPr="00CE2A13" w:rsidRDefault="0057367C" w:rsidP="00874C97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57367C">
        <w:rPr>
          <w:rFonts w:asciiTheme="minorHAnsi" w:hAnsiTheme="minorHAnsi" w:cstheme="minorHAnsi"/>
          <w:b/>
          <w:color w:val="4D4D4D"/>
          <w:sz w:val="22"/>
          <w:szCs w:val="22"/>
        </w:rPr>
        <w:t>Nicaragua</w:t>
      </w:r>
      <w:r>
        <w:rPr>
          <w:rFonts w:asciiTheme="minorHAnsi" w:hAnsiTheme="minorHAnsi" w:cstheme="minorHAnsi"/>
          <w:color w:val="4D4D4D"/>
          <w:sz w:val="22"/>
          <w:szCs w:val="22"/>
        </w:rPr>
        <w:t>: destaca por su seguridad y su crecimiento económico en el entorno del 5%</w:t>
      </w:r>
      <w:r w:rsidR="00AA133E">
        <w:rPr>
          <w:rFonts w:asciiTheme="minorHAnsi" w:hAnsiTheme="minorHAnsi" w:cstheme="minorHAnsi"/>
          <w:color w:val="4D4D4D"/>
          <w:sz w:val="22"/>
          <w:szCs w:val="22"/>
        </w:rPr>
        <w:t xml:space="preserve"> en 2017</w:t>
      </w:r>
      <w:r w:rsidR="00CE2A13">
        <w:rPr>
          <w:rFonts w:asciiTheme="minorHAnsi" w:hAnsiTheme="minorHAnsi" w:cstheme="minorHAnsi"/>
          <w:color w:val="4D4D4D"/>
          <w:sz w:val="22"/>
          <w:szCs w:val="22"/>
        </w:rPr>
        <w:t xml:space="preserve">. </w:t>
      </w:r>
      <w:r w:rsidR="00CE2A13" w:rsidRPr="003A6C7F">
        <w:rPr>
          <w:rFonts w:asciiTheme="minorHAnsi" w:hAnsiTheme="minorHAnsi" w:cstheme="minorHAnsi"/>
          <w:color w:val="4D4D4D"/>
          <w:sz w:val="22"/>
          <w:szCs w:val="22"/>
        </w:rPr>
        <w:t>Sectores como la agroindustria, energías renovables, infraestructura, son los que destacan en este mercado.</w:t>
      </w:r>
      <w:r w:rsidR="00CE2A13" w:rsidRPr="000F4524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="003A6C7F" w:rsidRPr="000F4524">
        <w:rPr>
          <w:rFonts w:asciiTheme="minorHAnsi" w:hAnsiTheme="minorHAnsi" w:cstheme="minorHAnsi"/>
          <w:color w:val="4D4D4D"/>
          <w:sz w:val="22"/>
          <w:szCs w:val="22"/>
        </w:rPr>
        <w:t>Su población es de 5 millones de habitantes.</w:t>
      </w:r>
    </w:p>
    <w:p w:rsidR="00A37AF2" w:rsidRPr="0057367C" w:rsidRDefault="00A37AF2" w:rsidP="00B161E7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57367C" w:rsidRDefault="00A37AF2" w:rsidP="00B161E7">
      <w:p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</w:p>
    <w:p w:rsidR="00A37AF2" w:rsidRPr="0057367C" w:rsidRDefault="00A37AF2" w:rsidP="004633B5">
      <w:pPr>
        <w:autoSpaceDE w:val="0"/>
        <w:autoSpaceDN w:val="0"/>
        <w:adjustRightInd w:val="0"/>
        <w:ind w:left="900"/>
        <w:jc w:val="center"/>
        <w:rPr>
          <w:rFonts w:asciiTheme="minorHAnsi" w:hAnsiTheme="minorHAnsi" w:cstheme="minorHAnsi"/>
        </w:rPr>
      </w:pPr>
    </w:p>
    <w:p w:rsidR="00A37AF2" w:rsidRPr="0057367C" w:rsidRDefault="003D4AB2" w:rsidP="004633B5">
      <w:pPr>
        <w:autoSpaceDE w:val="0"/>
        <w:autoSpaceDN w:val="0"/>
        <w:adjustRightInd w:val="0"/>
        <w:ind w:left="900"/>
        <w:jc w:val="center"/>
        <w:rPr>
          <w:rFonts w:asciiTheme="minorHAnsi" w:hAnsiTheme="minorHAnsi" w:cstheme="minorHAnsi"/>
        </w:rPr>
      </w:pPr>
      <w:r w:rsidRPr="0057367C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2905161" cy="1742739"/>
            <wp:effectExtent l="0" t="0" r="0" b="0"/>
            <wp:docPr id="6" name="Imagen 3" descr="centroameric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entroameric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64" cy="17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F2" w:rsidRPr="0057367C" w:rsidRDefault="00A37AF2" w:rsidP="004633B5">
      <w:pPr>
        <w:autoSpaceDE w:val="0"/>
        <w:autoSpaceDN w:val="0"/>
        <w:adjustRightInd w:val="0"/>
        <w:ind w:left="900"/>
        <w:jc w:val="center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57367C" w:rsidRDefault="00A37AF2" w:rsidP="00BE59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93366"/>
          <w:sz w:val="28"/>
          <w:szCs w:val="28"/>
        </w:rPr>
      </w:pPr>
      <w:r w:rsidRPr="0057367C">
        <w:rPr>
          <w:rFonts w:asciiTheme="minorHAnsi" w:hAnsiTheme="minorHAnsi" w:cstheme="minorHAnsi"/>
          <w:b/>
          <w:bCs/>
          <w:color w:val="993366"/>
          <w:sz w:val="28"/>
          <w:szCs w:val="28"/>
        </w:rPr>
        <w:t>Por qué Centroamérica</w:t>
      </w:r>
    </w:p>
    <w:p w:rsidR="00A37AF2" w:rsidRPr="0057367C" w:rsidRDefault="00A37AF2" w:rsidP="00BE59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93366"/>
          <w:sz w:val="20"/>
          <w:szCs w:val="20"/>
        </w:rPr>
      </w:pPr>
    </w:p>
    <w:p w:rsidR="00A37AF2" w:rsidRPr="0057367C" w:rsidRDefault="00A37AF2" w:rsidP="00DA05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Se trata de un mercado creciente para los bienes y servicios españoles que cuentan con una buena imagen país</w:t>
      </w:r>
    </w:p>
    <w:p w:rsidR="00A37AF2" w:rsidRPr="0057367C" w:rsidRDefault="00A37AF2" w:rsidP="00DA05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La debilidad de la industria local y propensión a la importación</w:t>
      </w:r>
    </w:p>
    <w:p w:rsidR="00A37AF2" w:rsidRPr="0057367C" w:rsidRDefault="00AA133E" w:rsidP="00DA05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>
        <w:rPr>
          <w:rFonts w:asciiTheme="minorHAnsi" w:hAnsiTheme="minorHAnsi" w:cstheme="minorHAnsi"/>
          <w:color w:val="4D4D4D"/>
          <w:sz w:val="22"/>
          <w:szCs w:val="22"/>
        </w:rPr>
        <w:t>Tasas de crecimiento de 4,5</w:t>
      </w:r>
      <w:r w:rsidR="00A37AF2" w:rsidRPr="0057367C">
        <w:rPr>
          <w:rFonts w:asciiTheme="minorHAnsi" w:hAnsiTheme="minorHAnsi" w:cstheme="minorHAnsi"/>
          <w:color w:val="4D4D4D"/>
          <w:sz w:val="22"/>
          <w:szCs w:val="22"/>
        </w:rPr>
        <w:t>% anual en los diez últimos años</w:t>
      </w:r>
    </w:p>
    <w:p w:rsidR="00A37AF2" w:rsidRPr="0057367C" w:rsidRDefault="00A37AF2" w:rsidP="00DA05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Actitud favorable para las empresas extranjeras</w:t>
      </w:r>
    </w:p>
    <w:p w:rsidR="00A37AF2" w:rsidRPr="0057367C" w:rsidRDefault="00A37AF2" w:rsidP="00DA05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Buena situación geográfica para acceder a mercados </w:t>
      </w:r>
      <w:r w:rsidR="00CE2A13" w:rsidRPr="0057367C">
        <w:rPr>
          <w:rFonts w:asciiTheme="minorHAnsi" w:hAnsiTheme="minorHAnsi" w:cstheme="minorHAnsi"/>
          <w:color w:val="4D4D4D"/>
          <w:sz w:val="22"/>
          <w:szCs w:val="22"/>
        </w:rPr>
        <w:t>más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grandes</w:t>
      </w:r>
    </w:p>
    <w:p w:rsidR="00A37AF2" w:rsidRPr="0057367C" w:rsidRDefault="00A37AF2" w:rsidP="00DA05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Tratado de libre comercio con la UE. Más del </w:t>
      </w:r>
      <w:r w:rsidR="00CE2A13">
        <w:rPr>
          <w:rFonts w:asciiTheme="minorHAnsi" w:hAnsiTheme="minorHAnsi" w:cstheme="minorHAnsi"/>
          <w:color w:val="4D4D4D"/>
          <w:sz w:val="22"/>
          <w:szCs w:val="22"/>
        </w:rPr>
        <w:t>7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0% de productos fabricados en la UE entran con tasa ¨0¨</w:t>
      </w:r>
    </w:p>
    <w:p w:rsidR="00A37AF2" w:rsidRPr="0057367C" w:rsidRDefault="00A37AF2" w:rsidP="000F69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Numerosos proyectos con financiación multilateral, especialmente los relacionados con infraestructuras, energía, agua y medio ambiente, salud y educación</w:t>
      </w:r>
    </w:p>
    <w:p w:rsidR="00A37AF2" w:rsidRPr="0057367C" w:rsidRDefault="00A37AF2" w:rsidP="00056C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93366"/>
          <w:sz w:val="28"/>
          <w:szCs w:val="28"/>
        </w:rPr>
      </w:pPr>
    </w:p>
    <w:p w:rsidR="00A37AF2" w:rsidRPr="0057367C" w:rsidRDefault="00A37AF2" w:rsidP="00056C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93366"/>
          <w:sz w:val="28"/>
          <w:szCs w:val="28"/>
        </w:rPr>
      </w:pPr>
      <w:r w:rsidRPr="0057367C">
        <w:rPr>
          <w:rFonts w:asciiTheme="minorHAnsi" w:hAnsiTheme="minorHAnsi" w:cstheme="minorHAnsi"/>
          <w:b/>
          <w:bCs/>
          <w:color w:val="993366"/>
          <w:sz w:val="28"/>
          <w:szCs w:val="28"/>
        </w:rPr>
        <w:t>Agenda</w:t>
      </w:r>
    </w:p>
    <w:p w:rsidR="00A37AF2" w:rsidRPr="0057367C" w:rsidRDefault="00A37AF2" w:rsidP="00BE597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37AF2" w:rsidRPr="0057367C" w:rsidRDefault="00A37AF2" w:rsidP="00E45EA9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Podrá selecciona</w:t>
      </w:r>
      <w:r w:rsidR="00A83472" w:rsidRPr="0057367C">
        <w:rPr>
          <w:rFonts w:asciiTheme="minorHAnsi" w:hAnsiTheme="minorHAnsi" w:cstheme="minorHAnsi"/>
          <w:color w:val="4D4D4D"/>
          <w:sz w:val="22"/>
          <w:szCs w:val="22"/>
        </w:rPr>
        <w:t>r dos de los cinco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 xml:space="preserve"> países en los que se le preparará una agenda de reuniones de acuerdo con sus necesidades y con el perfil de contacto demandado: cliente final, distribuidor, socio local, Administración Pública, etc.</w:t>
      </w:r>
    </w:p>
    <w:p w:rsidR="00A37AF2" w:rsidRPr="0057367C" w:rsidRDefault="00A37AF2" w:rsidP="000F69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D4D4D"/>
          <w:sz w:val="20"/>
          <w:szCs w:val="20"/>
        </w:rPr>
      </w:pPr>
    </w:p>
    <w:p w:rsidR="00A37AF2" w:rsidRPr="0057367C" w:rsidRDefault="00A37AF2" w:rsidP="00A966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37AF2" w:rsidRPr="0057367C" w:rsidRDefault="00A37AF2" w:rsidP="00BE59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93366"/>
          <w:sz w:val="28"/>
          <w:szCs w:val="28"/>
        </w:rPr>
      </w:pPr>
      <w:r w:rsidRPr="0057367C">
        <w:rPr>
          <w:rFonts w:asciiTheme="minorHAnsi" w:hAnsiTheme="minorHAnsi" w:cstheme="minorHAnsi"/>
          <w:b/>
          <w:bCs/>
          <w:color w:val="993366"/>
          <w:sz w:val="28"/>
          <w:szCs w:val="28"/>
        </w:rPr>
        <w:t>Condiciones de participación</w:t>
      </w:r>
    </w:p>
    <w:p w:rsidR="00A37AF2" w:rsidRPr="0057367C" w:rsidRDefault="00A37AF2" w:rsidP="00E45EA9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E45EA9" w:rsidRDefault="00A37AF2" w:rsidP="00E45EA9">
      <w:pPr>
        <w:autoSpaceDE w:val="0"/>
        <w:autoSpaceDN w:val="0"/>
        <w:adjustRightInd w:val="0"/>
        <w:ind w:left="900"/>
        <w:jc w:val="both"/>
        <w:rPr>
          <w:rFonts w:ascii="Verdana" w:hAnsi="Verdana" w:cs="Verdana"/>
          <w:color w:val="4D4D4D"/>
          <w:sz w:val="22"/>
          <w:szCs w:val="22"/>
        </w:rPr>
      </w:pPr>
      <w:r w:rsidRPr="0057367C">
        <w:rPr>
          <w:rFonts w:asciiTheme="minorHAnsi" w:hAnsiTheme="minorHAnsi" w:cstheme="minorHAnsi"/>
          <w:color w:val="4D4D4D"/>
          <w:sz w:val="22"/>
          <w:szCs w:val="22"/>
        </w:rPr>
        <w:t>La cuota de parti</w:t>
      </w:r>
      <w:r w:rsidR="00A83472" w:rsidRPr="0057367C">
        <w:rPr>
          <w:rFonts w:asciiTheme="minorHAnsi" w:hAnsiTheme="minorHAnsi" w:cstheme="minorHAnsi"/>
          <w:color w:val="4D4D4D"/>
          <w:sz w:val="22"/>
          <w:szCs w:val="22"/>
        </w:rPr>
        <w:t>cipación por empresa será de 40</w:t>
      </w:r>
      <w:r w:rsidRPr="0057367C">
        <w:rPr>
          <w:rFonts w:asciiTheme="minorHAnsi" w:hAnsiTheme="minorHAnsi" w:cstheme="minorHAnsi"/>
          <w:color w:val="4D4D4D"/>
          <w:sz w:val="22"/>
          <w:szCs w:val="22"/>
        </w:rPr>
        <w:t>0 euros + IVA por país</w:t>
      </w:r>
      <w:r w:rsidR="00AA133E">
        <w:rPr>
          <w:rFonts w:asciiTheme="minorHAnsi" w:hAnsiTheme="minorHAnsi" w:cstheme="minorHAnsi"/>
          <w:color w:val="4D4D4D"/>
          <w:sz w:val="22"/>
          <w:szCs w:val="22"/>
        </w:rPr>
        <w:t>. (450 en el caso de Panamá)</w:t>
      </w:r>
    </w:p>
    <w:p w:rsidR="00A37AF2" w:rsidRPr="00E45EA9" w:rsidRDefault="00A37AF2" w:rsidP="00E45EA9">
      <w:pPr>
        <w:autoSpaceDE w:val="0"/>
        <w:autoSpaceDN w:val="0"/>
        <w:adjustRightInd w:val="0"/>
        <w:ind w:left="900"/>
        <w:jc w:val="both"/>
        <w:rPr>
          <w:rFonts w:ascii="Verdana" w:hAnsi="Verdana" w:cs="Verdana"/>
          <w:color w:val="4D4D4D"/>
          <w:sz w:val="22"/>
          <w:szCs w:val="22"/>
        </w:rPr>
      </w:pPr>
    </w:p>
    <w:p w:rsidR="00A37AF2" w:rsidRPr="00AA133E" w:rsidRDefault="00A37AF2" w:rsidP="00A53ED9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AA133E">
        <w:rPr>
          <w:rFonts w:asciiTheme="minorHAnsi" w:hAnsiTheme="minorHAnsi" w:cstheme="minorHAnsi"/>
          <w:color w:val="4D4D4D"/>
          <w:sz w:val="22"/>
          <w:szCs w:val="22"/>
        </w:rPr>
        <w:t>Sólo se tendrán en cuenta las solicitudes de participación que vengan acompañadas de:</w:t>
      </w:r>
    </w:p>
    <w:p w:rsidR="00A37AF2" w:rsidRPr="00AA133E" w:rsidRDefault="00A37AF2" w:rsidP="00A53ED9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AA133E" w:rsidRDefault="00A37AF2" w:rsidP="00A53ED9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AA133E">
        <w:rPr>
          <w:rFonts w:asciiTheme="minorHAnsi" w:hAnsiTheme="minorHAnsi" w:cstheme="minorHAnsi"/>
          <w:color w:val="4D4D4D"/>
          <w:sz w:val="22"/>
          <w:szCs w:val="22"/>
        </w:rPr>
        <w:lastRenderedPageBreak/>
        <w:t>Justificante de transferencia bancaria a la cuenta de BANKIA 2038 8814 66 6000011344 en concepto de Misión Comercial a Centroamérica.</w:t>
      </w:r>
    </w:p>
    <w:p w:rsidR="00A37AF2" w:rsidRPr="00AA133E" w:rsidRDefault="00A37AF2" w:rsidP="00701B33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AA133E">
        <w:rPr>
          <w:rFonts w:asciiTheme="minorHAnsi" w:hAnsiTheme="minorHAnsi" w:cstheme="minorHAnsi"/>
          <w:color w:val="4D4D4D"/>
          <w:sz w:val="22"/>
          <w:szCs w:val="22"/>
        </w:rPr>
        <w:tab/>
      </w:r>
    </w:p>
    <w:p w:rsidR="00A37AF2" w:rsidRDefault="00A37AF2" w:rsidP="0090124C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color w:val="666666"/>
          <w:sz w:val="20"/>
          <w:szCs w:val="20"/>
        </w:rPr>
      </w:pPr>
      <w:r w:rsidRPr="00AA133E">
        <w:rPr>
          <w:rFonts w:asciiTheme="minorHAnsi" w:hAnsiTheme="minorHAnsi" w:cstheme="minorHAnsi"/>
          <w:color w:val="4D4D4D"/>
          <w:sz w:val="22"/>
          <w:szCs w:val="22"/>
        </w:rPr>
        <w:t xml:space="preserve">Las empresas podrán solicitar una ayuda </w:t>
      </w:r>
      <w:r w:rsidR="00A83472" w:rsidRPr="00AA133E">
        <w:rPr>
          <w:rFonts w:asciiTheme="minorHAnsi" w:hAnsiTheme="minorHAnsi" w:cstheme="minorHAnsi"/>
          <w:color w:val="4D4D4D"/>
          <w:sz w:val="22"/>
          <w:szCs w:val="22"/>
        </w:rPr>
        <w:t>que cubrirá parte de los gastos de transporte y alojamiento.</w:t>
      </w:r>
      <w:r w:rsidR="000F4524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="000F4524" w:rsidRPr="000F4524">
        <w:rPr>
          <w:rFonts w:asciiTheme="minorHAnsi" w:hAnsiTheme="minorHAnsi" w:cstheme="minorHAnsi"/>
          <w:b/>
          <w:color w:val="4D4D4D"/>
          <w:sz w:val="22"/>
          <w:szCs w:val="22"/>
        </w:rPr>
        <w:t xml:space="preserve">Fecha límite de solicitud, </w:t>
      </w:r>
      <w:r w:rsidR="000F4524" w:rsidRPr="000F4524">
        <w:rPr>
          <w:rFonts w:ascii="Arial" w:hAnsi="Arial" w:cs="Arial"/>
          <w:b/>
          <w:color w:val="666666"/>
          <w:sz w:val="20"/>
          <w:szCs w:val="20"/>
        </w:rPr>
        <w:t>30 de ABRIL de 2018.</w:t>
      </w:r>
    </w:p>
    <w:p w:rsidR="000F4524" w:rsidRDefault="000F4524" w:rsidP="0090124C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color w:val="666666"/>
          <w:sz w:val="20"/>
          <w:szCs w:val="20"/>
        </w:rPr>
      </w:pPr>
    </w:p>
    <w:p w:rsidR="000F4524" w:rsidRPr="00AA133E" w:rsidRDefault="00AD5DE0" w:rsidP="0090124C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hyperlink r:id="rId11" w:history="1">
        <w:r w:rsidR="000F4524">
          <w:rPr>
            <w:rFonts w:ascii="Helv" w:hAnsi="Helv" w:cs="Helv"/>
            <w:color w:val="0000FF"/>
            <w:sz w:val="20"/>
            <w:szCs w:val="20"/>
          </w:rPr>
          <w:t>http://www.gva.es/es/inicio/procedimientos?id_proc=16796&amp;version=amp</w:t>
        </w:r>
      </w:hyperlink>
    </w:p>
    <w:p w:rsidR="00A83472" w:rsidRPr="00AA133E" w:rsidRDefault="00A83472" w:rsidP="0090124C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</w:p>
    <w:p w:rsidR="00A37AF2" w:rsidRPr="00AA133E" w:rsidRDefault="00A37AF2" w:rsidP="0090124C">
      <w:pPr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color w:val="4D4D4D"/>
          <w:sz w:val="22"/>
          <w:szCs w:val="22"/>
        </w:rPr>
      </w:pPr>
      <w:r w:rsidRPr="00AA133E">
        <w:rPr>
          <w:rFonts w:asciiTheme="minorHAnsi" w:hAnsiTheme="minorHAnsi" w:cstheme="minorHAnsi"/>
          <w:color w:val="4D4D4D"/>
          <w:sz w:val="22"/>
          <w:szCs w:val="22"/>
        </w:rPr>
        <w:t>Para más información:</w:t>
      </w:r>
    </w:p>
    <w:p w:rsidR="00A37AF2" w:rsidRPr="00874C97" w:rsidRDefault="00A37AF2" w:rsidP="0090124C">
      <w:pPr>
        <w:autoSpaceDE w:val="0"/>
        <w:autoSpaceDN w:val="0"/>
        <w:adjustRightInd w:val="0"/>
        <w:ind w:left="900"/>
        <w:jc w:val="both"/>
        <w:rPr>
          <w:rFonts w:ascii="Verdana" w:hAnsi="Verdana" w:cs="Verdana"/>
          <w:color w:val="4D4D4D"/>
          <w:sz w:val="22"/>
          <w:szCs w:val="22"/>
        </w:rPr>
      </w:pPr>
    </w:p>
    <w:p w:rsidR="00A37AF2" w:rsidRPr="00874C97" w:rsidRDefault="00A37AF2" w:rsidP="0090124C">
      <w:pPr>
        <w:autoSpaceDE w:val="0"/>
        <w:autoSpaceDN w:val="0"/>
        <w:adjustRightInd w:val="0"/>
        <w:ind w:left="900"/>
        <w:jc w:val="both"/>
        <w:rPr>
          <w:rFonts w:ascii="Verdana" w:hAnsi="Verdana" w:cs="Verdana"/>
          <w:b/>
          <w:bCs/>
          <w:color w:val="4D4D4D"/>
          <w:sz w:val="22"/>
          <w:szCs w:val="22"/>
        </w:rPr>
      </w:pPr>
      <w:r w:rsidRPr="00874C97">
        <w:rPr>
          <w:rFonts w:ascii="Verdana" w:hAnsi="Verdana" w:cs="Verdana"/>
          <w:b/>
          <w:bCs/>
          <w:color w:val="4D4D4D"/>
          <w:sz w:val="22"/>
          <w:szCs w:val="22"/>
        </w:rPr>
        <w:t>Enrique del Castillo</w:t>
      </w:r>
    </w:p>
    <w:p w:rsidR="00A37AF2" w:rsidRPr="00874C97" w:rsidRDefault="00A37AF2" w:rsidP="0090124C">
      <w:pPr>
        <w:autoSpaceDE w:val="0"/>
        <w:autoSpaceDN w:val="0"/>
        <w:adjustRightInd w:val="0"/>
        <w:ind w:left="900"/>
        <w:jc w:val="both"/>
        <w:rPr>
          <w:rFonts w:ascii="Verdana" w:hAnsi="Verdana" w:cs="Verdana"/>
          <w:b/>
          <w:bCs/>
          <w:color w:val="4D4D4D"/>
          <w:sz w:val="22"/>
          <w:szCs w:val="22"/>
          <w:lang w:val="en-US"/>
        </w:rPr>
      </w:pPr>
      <w:r w:rsidRPr="00874C97">
        <w:rPr>
          <w:rFonts w:ascii="Verdana" w:hAnsi="Verdana" w:cs="Verdana"/>
          <w:b/>
          <w:bCs/>
          <w:color w:val="4D4D4D"/>
          <w:sz w:val="22"/>
          <w:szCs w:val="22"/>
          <w:lang w:val="en-US"/>
        </w:rPr>
        <w:t xml:space="preserve">Email: </w:t>
      </w:r>
      <w:hyperlink r:id="rId12" w:history="1">
        <w:r w:rsidRPr="00874C97">
          <w:rPr>
            <w:rFonts w:ascii="Verdana" w:hAnsi="Verdana" w:cs="Verdana"/>
            <w:b/>
            <w:bCs/>
            <w:color w:val="4D4D4D"/>
            <w:sz w:val="22"/>
            <w:szCs w:val="22"/>
            <w:lang w:val="en-US"/>
          </w:rPr>
          <w:t>delcastillo_enr@gva.es</w:t>
        </w:r>
      </w:hyperlink>
    </w:p>
    <w:p w:rsidR="00A37AF2" w:rsidRPr="00CE2A13" w:rsidRDefault="00A37AF2" w:rsidP="00CE2A13">
      <w:pPr>
        <w:autoSpaceDE w:val="0"/>
        <w:autoSpaceDN w:val="0"/>
        <w:adjustRightInd w:val="0"/>
        <w:ind w:left="900"/>
        <w:jc w:val="both"/>
        <w:rPr>
          <w:rFonts w:ascii="Verdana" w:hAnsi="Verdana" w:cs="Verdana"/>
          <w:b/>
          <w:bCs/>
          <w:color w:val="4D4D4D"/>
          <w:sz w:val="22"/>
          <w:szCs w:val="22"/>
          <w:lang w:val="en-US"/>
        </w:rPr>
      </w:pPr>
      <w:r w:rsidRPr="00874C97">
        <w:rPr>
          <w:rFonts w:ascii="Verdana" w:hAnsi="Verdana" w:cs="Verdana"/>
          <w:b/>
          <w:bCs/>
          <w:color w:val="4D4D4D"/>
          <w:sz w:val="22"/>
          <w:szCs w:val="22"/>
          <w:lang w:val="en-US"/>
        </w:rPr>
        <w:t>Tel.: 96 120 9594</w:t>
      </w:r>
    </w:p>
    <w:sectPr w:rsidR="00A37AF2" w:rsidRPr="00CE2A13" w:rsidSect="00B161E7">
      <w:type w:val="continuous"/>
      <w:pgSz w:w="11906" w:h="16838"/>
      <w:pgMar w:top="1234" w:right="1558" w:bottom="1417" w:left="90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F2" w:rsidRDefault="00A37AF2">
      <w:r>
        <w:separator/>
      </w:r>
    </w:p>
  </w:endnote>
  <w:endnote w:type="continuationSeparator" w:id="0">
    <w:p w:rsidR="00A37AF2" w:rsidRDefault="00A3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F2" w:rsidRDefault="00A37AF2" w:rsidP="00C80143">
    <w:pPr>
      <w:pStyle w:val="Piedepgina"/>
      <w:jc w:val="right"/>
    </w:pP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F2" w:rsidRDefault="00A37AF2">
      <w:r>
        <w:separator/>
      </w:r>
    </w:p>
  </w:footnote>
  <w:footnote w:type="continuationSeparator" w:id="0">
    <w:p w:rsidR="00A37AF2" w:rsidRDefault="00A3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2281"/>
      <w:gridCol w:w="3254"/>
    </w:tblGrid>
    <w:tr w:rsidR="00A37AF2">
      <w:trPr>
        <w:trHeight w:val="851"/>
      </w:trPr>
      <w:tc>
        <w:tcPr>
          <w:tcW w:w="2939" w:type="dxa"/>
        </w:tcPr>
        <w:p w:rsidR="00A37AF2" w:rsidRPr="00E122BC" w:rsidRDefault="00A83472" w:rsidP="00E122BC">
          <w:pPr>
            <w:spacing w:before="100" w:beforeAutospacing="1" w:after="100" w:afterAutospacing="1"/>
            <w:rPr>
              <w:color w:val="000000"/>
            </w:rPr>
          </w:pPr>
          <w:r>
            <w:rPr>
              <w:rFonts w:ascii="Tms Rmn" w:hAnsi="Tms Rmn"/>
              <w:noProof/>
            </w:rPr>
            <w:drawing>
              <wp:inline distT="0" distB="0" distL="0" distR="0" wp14:anchorId="2EAAC0AC" wp14:editId="67AE44D3">
                <wp:extent cx="1939114" cy="437932"/>
                <wp:effectExtent l="0" t="0" r="4445" b="63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480" cy="446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</w:tcPr>
        <w:p w:rsidR="00A37AF2" w:rsidRPr="00E74F22" w:rsidRDefault="00A37AF2" w:rsidP="005F2695">
          <w:pPr>
            <w:pStyle w:val="Encabezado"/>
            <w:tabs>
              <w:tab w:val="right" w:pos="9360"/>
            </w:tabs>
            <w:jc w:val="right"/>
          </w:pPr>
        </w:p>
      </w:tc>
      <w:tc>
        <w:tcPr>
          <w:tcW w:w="3254" w:type="dxa"/>
        </w:tcPr>
        <w:p w:rsidR="00A37AF2" w:rsidRPr="00E74F22" w:rsidRDefault="003D4AB2" w:rsidP="00F20A8A">
          <w:pPr>
            <w:pStyle w:val="Encabezado"/>
            <w:tabs>
              <w:tab w:val="right" w:pos="9360"/>
            </w:tabs>
            <w:jc w:val="right"/>
          </w:pPr>
          <w:r>
            <w:rPr>
              <w:rFonts w:ascii="Tahoma" w:hAnsi="Tahoma" w:cs="Tahoma"/>
              <w:noProof/>
              <w:color w:val="0066FF"/>
              <w:sz w:val="17"/>
              <w:szCs w:val="17"/>
            </w:rPr>
            <w:drawing>
              <wp:inline distT="0" distB="0" distL="0" distR="0">
                <wp:extent cx="1532890" cy="360680"/>
                <wp:effectExtent l="0" t="0" r="0" b="0"/>
                <wp:docPr id="5" name="lgoCamara" descr="Logo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goCamara" descr="Logo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7AF2" w:rsidRPr="00E74F22" w:rsidRDefault="00A37AF2" w:rsidP="00E74F22">
    <w:pPr>
      <w:pStyle w:val="Encabezado"/>
      <w:ind w:left="4956" w:firstLine="4248"/>
      <w:rPr>
        <w:rFonts w:ascii="Arial" w:hAnsi="Arial" w:cs="Arial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"/>
      </v:shape>
    </w:pict>
  </w:numPicBullet>
  <w:numPicBullet w:numPicBulletId="1">
    <w:pict>
      <v:shape id="_x0000_i1027" type="#_x0000_t75" style="width:11.35pt;height:11.35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82AF992"/>
    <w:lvl w:ilvl="0">
      <w:numFmt w:val="bullet"/>
      <w:lvlText w:val="*"/>
      <w:lvlJc w:val="left"/>
    </w:lvl>
  </w:abstractNum>
  <w:abstractNum w:abstractNumId="1" w15:restartNumberingAfterBreak="0">
    <w:nsid w:val="1B9144AA"/>
    <w:multiLevelType w:val="hybridMultilevel"/>
    <w:tmpl w:val="F7D668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B633E"/>
    <w:multiLevelType w:val="singleLevel"/>
    <w:tmpl w:val="B2108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u w:val="none"/>
      </w:rPr>
    </w:lvl>
  </w:abstractNum>
  <w:abstractNum w:abstractNumId="3" w15:restartNumberingAfterBreak="0">
    <w:nsid w:val="24F927D3"/>
    <w:multiLevelType w:val="hybridMultilevel"/>
    <w:tmpl w:val="13343142"/>
    <w:lvl w:ilvl="0" w:tplc="B4780E0E">
      <w:start w:val="1"/>
      <w:numFmt w:val="bullet"/>
      <w:lvlText w:val=""/>
      <w:lvlPicBulletId w:val="0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533043"/>
    <w:multiLevelType w:val="hybridMultilevel"/>
    <w:tmpl w:val="CD16576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442C2"/>
    <w:multiLevelType w:val="hybridMultilevel"/>
    <w:tmpl w:val="DF64B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A69FC"/>
    <w:multiLevelType w:val="hybridMultilevel"/>
    <w:tmpl w:val="909657B2"/>
    <w:lvl w:ilvl="0" w:tplc="B4780E0E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C86DCA"/>
    <w:multiLevelType w:val="hybridMultilevel"/>
    <w:tmpl w:val="7C9A8BDC"/>
    <w:lvl w:ilvl="0" w:tplc="6E1CBE84">
      <w:start w:val="1"/>
      <w:numFmt w:val="bullet"/>
      <w:lvlText w:val=""/>
      <w:lvlPicBulletId w:val="1"/>
      <w:lvlJc w:val="left"/>
      <w:pPr>
        <w:tabs>
          <w:tab w:val="num" w:pos="1477"/>
        </w:tabs>
        <w:ind w:left="1477" w:hanging="360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420B59"/>
    <w:multiLevelType w:val="multilevel"/>
    <w:tmpl w:val="07D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5"/>
    <w:rsid w:val="00007262"/>
    <w:rsid w:val="00013A13"/>
    <w:rsid w:val="00016710"/>
    <w:rsid w:val="00017EA2"/>
    <w:rsid w:val="00047850"/>
    <w:rsid w:val="00052783"/>
    <w:rsid w:val="00056C6B"/>
    <w:rsid w:val="000650DB"/>
    <w:rsid w:val="00065E11"/>
    <w:rsid w:val="00090551"/>
    <w:rsid w:val="000B03EE"/>
    <w:rsid w:val="000B1530"/>
    <w:rsid w:val="000C43E5"/>
    <w:rsid w:val="000D4C3E"/>
    <w:rsid w:val="000D6D49"/>
    <w:rsid w:val="000E4BFF"/>
    <w:rsid w:val="000F4524"/>
    <w:rsid w:val="000F69A5"/>
    <w:rsid w:val="00103E6F"/>
    <w:rsid w:val="00106C3B"/>
    <w:rsid w:val="00130CFA"/>
    <w:rsid w:val="00133DE8"/>
    <w:rsid w:val="00137A8B"/>
    <w:rsid w:val="00140C72"/>
    <w:rsid w:val="001477F8"/>
    <w:rsid w:val="0019160C"/>
    <w:rsid w:val="001A68C1"/>
    <w:rsid w:val="001C28A2"/>
    <w:rsid w:val="001D5713"/>
    <w:rsid w:val="001F0739"/>
    <w:rsid w:val="002264C2"/>
    <w:rsid w:val="00226C12"/>
    <w:rsid w:val="00230107"/>
    <w:rsid w:val="002364DF"/>
    <w:rsid w:val="00243398"/>
    <w:rsid w:val="002612B4"/>
    <w:rsid w:val="00272671"/>
    <w:rsid w:val="00285119"/>
    <w:rsid w:val="002A1589"/>
    <w:rsid w:val="002D5CE7"/>
    <w:rsid w:val="002E74C9"/>
    <w:rsid w:val="002F53E7"/>
    <w:rsid w:val="002F5D49"/>
    <w:rsid w:val="0030469A"/>
    <w:rsid w:val="0030652D"/>
    <w:rsid w:val="0031062B"/>
    <w:rsid w:val="003110D6"/>
    <w:rsid w:val="00332CAC"/>
    <w:rsid w:val="003346E8"/>
    <w:rsid w:val="00347B90"/>
    <w:rsid w:val="00352B81"/>
    <w:rsid w:val="00367F17"/>
    <w:rsid w:val="00371DC0"/>
    <w:rsid w:val="003A1B3C"/>
    <w:rsid w:val="003A6C7F"/>
    <w:rsid w:val="003B62E5"/>
    <w:rsid w:val="003B747D"/>
    <w:rsid w:val="003C3C95"/>
    <w:rsid w:val="003D0959"/>
    <w:rsid w:val="003D4AB2"/>
    <w:rsid w:val="0042380F"/>
    <w:rsid w:val="00434CD9"/>
    <w:rsid w:val="00436F63"/>
    <w:rsid w:val="004501F1"/>
    <w:rsid w:val="004520C6"/>
    <w:rsid w:val="00453A71"/>
    <w:rsid w:val="00456CFA"/>
    <w:rsid w:val="004633B5"/>
    <w:rsid w:val="00484EFC"/>
    <w:rsid w:val="00490C11"/>
    <w:rsid w:val="004A75FE"/>
    <w:rsid w:val="004B2C39"/>
    <w:rsid w:val="004B30AD"/>
    <w:rsid w:val="004C3D66"/>
    <w:rsid w:val="004D1855"/>
    <w:rsid w:val="004E4DBB"/>
    <w:rsid w:val="004F6F2A"/>
    <w:rsid w:val="00501CEF"/>
    <w:rsid w:val="00510872"/>
    <w:rsid w:val="00521C8B"/>
    <w:rsid w:val="005330BF"/>
    <w:rsid w:val="00556295"/>
    <w:rsid w:val="005620C2"/>
    <w:rsid w:val="0057262E"/>
    <w:rsid w:val="0057367C"/>
    <w:rsid w:val="005A631B"/>
    <w:rsid w:val="005D394D"/>
    <w:rsid w:val="005D4304"/>
    <w:rsid w:val="005D60C3"/>
    <w:rsid w:val="005E4302"/>
    <w:rsid w:val="005E64A5"/>
    <w:rsid w:val="005F2695"/>
    <w:rsid w:val="005F471D"/>
    <w:rsid w:val="005F5606"/>
    <w:rsid w:val="00604C71"/>
    <w:rsid w:val="00605B2C"/>
    <w:rsid w:val="0060744B"/>
    <w:rsid w:val="0064075B"/>
    <w:rsid w:val="0065089B"/>
    <w:rsid w:val="00663BDD"/>
    <w:rsid w:val="006952ED"/>
    <w:rsid w:val="00696C66"/>
    <w:rsid w:val="006A015E"/>
    <w:rsid w:val="006A3D21"/>
    <w:rsid w:val="006A4B3C"/>
    <w:rsid w:val="006A62C8"/>
    <w:rsid w:val="006B3DC2"/>
    <w:rsid w:val="006F3599"/>
    <w:rsid w:val="006F519D"/>
    <w:rsid w:val="006F796C"/>
    <w:rsid w:val="00701B33"/>
    <w:rsid w:val="007054F3"/>
    <w:rsid w:val="00731644"/>
    <w:rsid w:val="00732124"/>
    <w:rsid w:val="00732F7F"/>
    <w:rsid w:val="007440C7"/>
    <w:rsid w:val="00747312"/>
    <w:rsid w:val="007541FD"/>
    <w:rsid w:val="0075555C"/>
    <w:rsid w:val="0075627A"/>
    <w:rsid w:val="00757ABB"/>
    <w:rsid w:val="007714DB"/>
    <w:rsid w:val="007811E7"/>
    <w:rsid w:val="00783D07"/>
    <w:rsid w:val="00793BB4"/>
    <w:rsid w:val="007952BB"/>
    <w:rsid w:val="007B7B19"/>
    <w:rsid w:val="007C2801"/>
    <w:rsid w:val="007D03B3"/>
    <w:rsid w:val="007D323E"/>
    <w:rsid w:val="007D43B7"/>
    <w:rsid w:val="007E5BAB"/>
    <w:rsid w:val="0082601F"/>
    <w:rsid w:val="00834D79"/>
    <w:rsid w:val="0083615B"/>
    <w:rsid w:val="00841CFD"/>
    <w:rsid w:val="00851378"/>
    <w:rsid w:val="0085153E"/>
    <w:rsid w:val="008609CA"/>
    <w:rsid w:val="00862871"/>
    <w:rsid w:val="00874C97"/>
    <w:rsid w:val="0087733E"/>
    <w:rsid w:val="00883386"/>
    <w:rsid w:val="0089187F"/>
    <w:rsid w:val="008B4080"/>
    <w:rsid w:val="008F3974"/>
    <w:rsid w:val="0090124C"/>
    <w:rsid w:val="00961821"/>
    <w:rsid w:val="00961859"/>
    <w:rsid w:val="00984207"/>
    <w:rsid w:val="0098517E"/>
    <w:rsid w:val="00997398"/>
    <w:rsid w:val="009A19FC"/>
    <w:rsid w:val="009A2381"/>
    <w:rsid w:val="009B1750"/>
    <w:rsid w:val="009C38F4"/>
    <w:rsid w:val="00A02F33"/>
    <w:rsid w:val="00A16532"/>
    <w:rsid w:val="00A277E3"/>
    <w:rsid w:val="00A34A95"/>
    <w:rsid w:val="00A37AF2"/>
    <w:rsid w:val="00A43BEB"/>
    <w:rsid w:val="00A44DD1"/>
    <w:rsid w:val="00A456A4"/>
    <w:rsid w:val="00A53ED9"/>
    <w:rsid w:val="00A57EAE"/>
    <w:rsid w:val="00A649CE"/>
    <w:rsid w:val="00A65D70"/>
    <w:rsid w:val="00A668F3"/>
    <w:rsid w:val="00A815FA"/>
    <w:rsid w:val="00A83472"/>
    <w:rsid w:val="00A96613"/>
    <w:rsid w:val="00AA133E"/>
    <w:rsid w:val="00AA4F18"/>
    <w:rsid w:val="00AA6316"/>
    <w:rsid w:val="00AB5909"/>
    <w:rsid w:val="00AD0168"/>
    <w:rsid w:val="00AD5DE0"/>
    <w:rsid w:val="00B00DE2"/>
    <w:rsid w:val="00B161E7"/>
    <w:rsid w:val="00B337A5"/>
    <w:rsid w:val="00B81A00"/>
    <w:rsid w:val="00B92CC5"/>
    <w:rsid w:val="00B93A16"/>
    <w:rsid w:val="00B955B5"/>
    <w:rsid w:val="00BC14DE"/>
    <w:rsid w:val="00BC3D3E"/>
    <w:rsid w:val="00BC485C"/>
    <w:rsid w:val="00BD3AA4"/>
    <w:rsid w:val="00BE5978"/>
    <w:rsid w:val="00BE795F"/>
    <w:rsid w:val="00BF18B9"/>
    <w:rsid w:val="00BF47D0"/>
    <w:rsid w:val="00BF7112"/>
    <w:rsid w:val="00C467BB"/>
    <w:rsid w:val="00C547CD"/>
    <w:rsid w:val="00C55892"/>
    <w:rsid w:val="00C66937"/>
    <w:rsid w:val="00C80143"/>
    <w:rsid w:val="00C95623"/>
    <w:rsid w:val="00CA0510"/>
    <w:rsid w:val="00CA32B7"/>
    <w:rsid w:val="00CA65AF"/>
    <w:rsid w:val="00CA6D3E"/>
    <w:rsid w:val="00CA7B60"/>
    <w:rsid w:val="00CC3CDA"/>
    <w:rsid w:val="00CE2A13"/>
    <w:rsid w:val="00CF0A6A"/>
    <w:rsid w:val="00CF4E11"/>
    <w:rsid w:val="00CF6DAB"/>
    <w:rsid w:val="00D27352"/>
    <w:rsid w:val="00D8258A"/>
    <w:rsid w:val="00D87DFC"/>
    <w:rsid w:val="00DA0571"/>
    <w:rsid w:val="00DB41E2"/>
    <w:rsid w:val="00DC215F"/>
    <w:rsid w:val="00DD3B13"/>
    <w:rsid w:val="00DE64B7"/>
    <w:rsid w:val="00DF73EB"/>
    <w:rsid w:val="00E02D80"/>
    <w:rsid w:val="00E122BC"/>
    <w:rsid w:val="00E1502A"/>
    <w:rsid w:val="00E3296D"/>
    <w:rsid w:val="00E32FFB"/>
    <w:rsid w:val="00E433AC"/>
    <w:rsid w:val="00E45EA9"/>
    <w:rsid w:val="00E67A9E"/>
    <w:rsid w:val="00E70968"/>
    <w:rsid w:val="00E74F22"/>
    <w:rsid w:val="00E86A22"/>
    <w:rsid w:val="00E87B66"/>
    <w:rsid w:val="00E90897"/>
    <w:rsid w:val="00EA5EC6"/>
    <w:rsid w:val="00ED088B"/>
    <w:rsid w:val="00ED38B1"/>
    <w:rsid w:val="00EE6C2E"/>
    <w:rsid w:val="00EF7EE4"/>
    <w:rsid w:val="00F20A8A"/>
    <w:rsid w:val="00F36E24"/>
    <w:rsid w:val="00F55AD2"/>
    <w:rsid w:val="00F654B4"/>
    <w:rsid w:val="00F70DB5"/>
    <w:rsid w:val="00F7211A"/>
    <w:rsid w:val="00F77FB5"/>
    <w:rsid w:val="00F85B51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651D7"/>
  <w15:docId w15:val="{F8EC5CCF-AFD6-4178-983D-877A2F4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18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A19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4C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A1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4C2"/>
    <w:rPr>
      <w:sz w:val="24"/>
      <w:szCs w:val="24"/>
    </w:rPr>
  </w:style>
  <w:style w:type="paragraph" w:styleId="NormalWeb">
    <w:name w:val="Normal (Web)"/>
    <w:basedOn w:val="Normal"/>
    <w:uiPriority w:val="99"/>
    <w:rsid w:val="00E1502A"/>
    <w:pPr>
      <w:spacing w:before="129" w:after="129"/>
    </w:pPr>
  </w:style>
  <w:style w:type="paragraph" w:styleId="Textodeglobo">
    <w:name w:val="Balloon Text"/>
    <w:basedOn w:val="Normal"/>
    <w:link w:val="TextodegloboCar"/>
    <w:uiPriority w:val="99"/>
    <w:semiHidden/>
    <w:rsid w:val="00E15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4C2"/>
    <w:rPr>
      <w:sz w:val="2"/>
      <w:szCs w:val="2"/>
    </w:rPr>
  </w:style>
  <w:style w:type="paragraph" w:customStyle="1" w:styleId="Default">
    <w:name w:val="Default"/>
    <w:uiPriority w:val="99"/>
    <w:rsid w:val="0078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10">
    <w:name w:val="Normal (Web)10"/>
    <w:basedOn w:val="Normal"/>
    <w:uiPriority w:val="99"/>
    <w:rsid w:val="00BD3AA4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99"/>
    <w:rsid w:val="00793BB4"/>
    <w:pPr>
      <w:spacing w:before="100" w:beforeAutospacing="1" w:after="100" w:afterAutospacing="1"/>
      <w:outlineLvl w:val="2"/>
    </w:pPr>
    <w:rPr>
      <w:b/>
      <w:bCs/>
      <w:color w:val="62FEFF"/>
      <w:sz w:val="36"/>
      <w:szCs w:val="36"/>
    </w:rPr>
  </w:style>
  <w:style w:type="character" w:customStyle="1" w:styleId="Textoennegrita1">
    <w:name w:val="Texto en negrita1"/>
    <w:basedOn w:val="Fuentedeprrafopredeter"/>
    <w:uiPriority w:val="99"/>
    <w:rsid w:val="00CF4E11"/>
  </w:style>
  <w:style w:type="paragraph" w:customStyle="1" w:styleId="NormalWeb1">
    <w:name w:val="Normal (Web)1"/>
    <w:basedOn w:val="Normal"/>
    <w:uiPriority w:val="99"/>
    <w:rsid w:val="00CF4E11"/>
    <w:pPr>
      <w:spacing w:before="150" w:line="360" w:lineRule="atLeast"/>
    </w:pPr>
    <w:rPr>
      <w:sz w:val="21"/>
      <w:szCs w:val="21"/>
    </w:rPr>
  </w:style>
  <w:style w:type="character" w:styleId="Textoennegrita">
    <w:name w:val="Strong"/>
    <w:basedOn w:val="Fuentedeprrafopredeter"/>
    <w:uiPriority w:val="99"/>
    <w:qFormat/>
    <w:rsid w:val="00CF4E11"/>
    <w:rPr>
      <w:b/>
      <w:bCs/>
    </w:rPr>
  </w:style>
  <w:style w:type="paragraph" w:customStyle="1" w:styleId="entradilla4">
    <w:name w:val="entradilla4"/>
    <w:basedOn w:val="Normal"/>
    <w:uiPriority w:val="99"/>
    <w:rsid w:val="00874C97"/>
    <w:pPr>
      <w:spacing w:after="150" w:line="330" w:lineRule="atLeast"/>
      <w:ind w:left="600"/>
    </w:pPr>
    <w:rPr>
      <w:sz w:val="27"/>
      <w:szCs w:val="27"/>
    </w:rPr>
  </w:style>
  <w:style w:type="paragraph" w:styleId="Prrafodelista">
    <w:name w:val="List Paragraph"/>
    <w:basedOn w:val="Normal"/>
    <w:uiPriority w:val="34"/>
    <w:qFormat/>
    <w:rsid w:val="000F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58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7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95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3567">
                              <w:marLeft w:val="0"/>
                              <w:marRight w:val="21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59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98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58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63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602">
                      <w:marLeft w:val="-1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3554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360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3357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3552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3355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59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3359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43413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13358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1D1D1"/>
                                                                    <w:bottom w:val="none" w:sz="0" w:space="0" w:color="auto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434133596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1D1D1"/>
                                                                        <w:bottom w:val="none" w:sz="0" w:space="0" w:color="auto"/>
                                                                        <w:right w:val="single" w:sz="6" w:space="0" w:color="D1D1D1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59">
                  <w:marLeft w:val="2764"/>
                  <w:marRight w:val="2623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603">
                      <w:marLeft w:val="2764"/>
                      <w:marRight w:val="2623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1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58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570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57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castillo-ivex@g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va.es/es/inicio/procedimientos?id_proc=16796&amp;version=am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viajejet.com/mapa-de-america-central/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macoes.com.sv/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Cámara</vt:lpstr>
    </vt:vector>
  </TitlesOfParts>
  <Company>SECTyP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Cámara</dc:title>
  <dc:subject/>
  <dc:creator>Cisicret</dc:creator>
  <cp:keywords/>
  <dc:description/>
  <cp:lastModifiedBy>Enrique Del Castillo Ibarrola</cp:lastModifiedBy>
  <cp:revision>8</cp:revision>
  <cp:lastPrinted>2010-07-22T16:54:00Z</cp:lastPrinted>
  <dcterms:created xsi:type="dcterms:W3CDTF">2018-04-13T06:40:00Z</dcterms:created>
  <dcterms:modified xsi:type="dcterms:W3CDTF">2018-04-19T07:48:00Z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